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CBE9" w14:textId="61740EE7" w:rsidR="00750A1D" w:rsidRPr="007949AC" w:rsidRDefault="00750A1D" w:rsidP="006361A5">
      <w:pPr>
        <w:spacing w:after="160" w:line="259" w:lineRule="auto"/>
        <w:jc w:val="center"/>
        <w:rPr>
          <w:rFonts w:asciiTheme="minorHAnsi" w:hAnsiTheme="minorHAnsi"/>
          <w:b/>
          <w:color w:val="1F3864" w:themeColor="accent5" w:themeShade="80"/>
          <w:sz w:val="22"/>
          <w:szCs w:val="22"/>
        </w:rPr>
      </w:pPr>
      <w:proofErr w:type="spellStart"/>
      <w:r w:rsidRPr="007949AC">
        <w:rPr>
          <w:rFonts w:asciiTheme="minorHAnsi" w:hAnsiTheme="minorHAnsi"/>
          <w:b/>
          <w:color w:val="1F3864" w:themeColor="accent5" w:themeShade="80"/>
          <w:sz w:val="22"/>
          <w:szCs w:val="22"/>
        </w:rPr>
        <w:t>Secretaria-Geral</w:t>
      </w:r>
      <w:proofErr w:type="spellEnd"/>
      <w:r w:rsidRPr="007949AC">
        <w:rPr>
          <w:rFonts w:asciiTheme="minorHAnsi" w:hAnsiTheme="minorHAnsi"/>
          <w:b/>
          <w:color w:val="1F3864" w:themeColor="accent5" w:themeShade="80"/>
          <w:sz w:val="22"/>
          <w:szCs w:val="22"/>
        </w:rPr>
        <w:t xml:space="preserve"> d</w:t>
      </w:r>
      <w:r w:rsidR="006361A5">
        <w:rPr>
          <w:rFonts w:asciiTheme="minorHAnsi" w:hAnsiTheme="minorHAnsi"/>
          <w:b/>
          <w:color w:val="1F3864" w:themeColor="accent5" w:themeShade="80"/>
          <w:sz w:val="22"/>
          <w:szCs w:val="22"/>
        </w:rPr>
        <w:t xml:space="preserve">o Ministério do Trabalho Solidariedade e Segurança Social </w:t>
      </w:r>
      <w:r w:rsidRPr="007949AC">
        <w:rPr>
          <w:rFonts w:asciiTheme="minorHAnsi" w:hAnsiTheme="minorHAnsi"/>
          <w:b/>
          <w:color w:val="1F3864" w:themeColor="accent5" w:themeShade="80"/>
          <w:sz w:val="22"/>
          <w:szCs w:val="22"/>
        </w:rPr>
        <w:t>(SG</w:t>
      </w:r>
      <w:r w:rsidR="006361A5">
        <w:rPr>
          <w:rFonts w:asciiTheme="minorHAnsi" w:hAnsiTheme="minorHAnsi"/>
          <w:b/>
          <w:color w:val="1F3864" w:themeColor="accent5" w:themeShade="80"/>
          <w:sz w:val="22"/>
          <w:szCs w:val="22"/>
        </w:rPr>
        <w:t>MTSSS</w:t>
      </w:r>
      <w:r w:rsidRPr="007949AC">
        <w:rPr>
          <w:rFonts w:asciiTheme="minorHAnsi" w:hAnsiTheme="minorHAnsi"/>
          <w:b/>
          <w:color w:val="1F3864" w:themeColor="accent5" w:themeShade="80"/>
          <w:sz w:val="22"/>
          <w:szCs w:val="22"/>
        </w:rPr>
        <w:t xml:space="preserve">) / Programa </w:t>
      </w:r>
      <w:r w:rsidR="006361A5">
        <w:rPr>
          <w:rFonts w:asciiTheme="minorHAnsi" w:hAnsiTheme="minorHAnsi"/>
          <w:b/>
          <w:color w:val="1F3864" w:themeColor="accent5" w:themeShade="80"/>
          <w:sz w:val="22"/>
          <w:szCs w:val="22"/>
        </w:rPr>
        <w:t>Demografia Qualificações e Inclusão</w:t>
      </w:r>
      <w:r w:rsidRPr="007949AC">
        <w:rPr>
          <w:rFonts w:asciiTheme="minorHAnsi" w:hAnsiTheme="minorHAnsi"/>
          <w:b/>
          <w:color w:val="1F3864" w:themeColor="accent5" w:themeShade="80"/>
          <w:sz w:val="22"/>
          <w:szCs w:val="22"/>
        </w:rPr>
        <w:t xml:space="preserve"> (P</w:t>
      </w:r>
      <w:r w:rsidR="006361A5">
        <w:rPr>
          <w:rFonts w:asciiTheme="minorHAnsi" w:hAnsiTheme="minorHAnsi"/>
          <w:b/>
          <w:color w:val="1F3864" w:themeColor="accent5" w:themeShade="80"/>
          <w:sz w:val="22"/>
          <w:szCs w:val="22"/>
        </w:rPr>
        <w:t>ESSOAS 2030</w:t>
      </w:r>
      <w:r w:rsidRPr="007949AC">
        <w:rPr>
          <w:rFonts w:asciiTheme="minorHAnsi" w:hAnsiTheme="minorHAnsi"/>
          <w:b/>
          <w:color w:val="1F3864" w:themeColor="accent5" w:themeShade="80"/>
          <w:sz w:val="22"/>
          <w:szCs w:val="22"/>
        </w:rPr>
        <w:t>)</w:t>
      </w:r>
    </w:p>
    <w:p w14:paraId="12EC8536" w14:textId="6FC4271F" w:rsidR="00750A1D" w:rsidRPr="007949AC" w:rsidRDefault="00895FFD" w:rsidP="003B37BD">
      <w:pPr>
        <w:spacing w:line="360" w:lineRule="auto"/>
        <w:jc w:val="center"/>
        <w:rPr>
          <w:rFonts w:asciiTheme="minorHAnsi" w:hAnsiTheme="minorHAnsi"/>
          <w:b/>
          <w:color w:val="1F3864" w:themeColor="accent5" w:themeShade="80"/>
          <w:sz w:val="22"/>
          <w:szCs w:val="22"/>
        </w:rPr>
      </w:pPr>
      <w:r>
        <w:rPr>
          <w:rFonts w:asciiTheme="minorHAnsi" w:hAnsiTheme="minorHAnsi"/>
          <w:b/>
          <w:color w:val="1F3864" w:themeColor="accent5" w:themeShade="80"/>
          <w:sz w:val="22"/>
          <w:szCs w:val="22"/>
        </w:rPr>
        <w:t>Recrutamento</w:t>
      </w:r>
      <w:r w:rsidR="00750A1D" w:rsidRPr="007949AC">
        <w:rPr>
          <w:rFonts w:asciiTheme="minorHAnsi" w:hAnsiTheme="minorHAnsi"/>
          <w:b/>
          <w:color w:val="1F3864" w:themeColor="accent5" w:themeShade="80"/>
          <w:sz w:val="22"/>
          <w:szCs w:val="22"/>
        </w:rPr>
        <w:t xml:space="preserve"> – Mobilidade Interna</w:t>
      </w:r>
    </w:p>
    <w:p w14:paraId="16BF1ABF" w14:textId="77777777" w:rsidR="00750A1D" w:rsidRPr="007949AC" w:rsidRDefault="00750A1D" w:rsidP="003B37BD">
      <w:pPr>
        <w:spacing w:line="360" w:lineRule="auto"/>
        <w:jc w:val="center"/>
        <w:rPr>
          <w:rFonts w:asciiTheme="minorHAnsi" w:hAnsiTheme="minorHAnsi"/>
          <w:b/>
          <w:color w:val="1F3864" w:themeColor="accent5" w:themeShade="80"/>
          <w:sz w:val="22"/>
          <w:szCs w:val="22"/>
        </w:rPr>
      </w:pPr>
    </w:p>
    <w:p w14:paraId="3C71D8B8" w14:textId="77777777" w:rsidR="00750A1D" w:rsidRPr="007949AC" w:rsidRDefault="00750A1D" w:rsidP="003B37BD">
      <w:pPr>
        <w:spacing w:line="360" w:lineRule="auto"/>
        <w:jc w:val="center"/>
        <w:rPr>
          <w:rFonts w:asciiTheme="minorHAnsi" w:hAnsiTheme="minorHAnsi"/>
          <w:b/>
          <w:color w:val="1F3864" w:themeColor="accent5" w:themeShade="80"/>
          <w:sz w:val="22"/>
          <w:szCs w:val="22"/>
        </w:rPr>
      </w:pPr>
      <w:r w:rsidRPr="007949AC">
        <w:rPr>
          <w:rFonts w:asciiTheme="minorHAnsi" w:hAnsiTheme="minorHAnsi"/>
          <w:b/>
          <w:color w:val="1F3864" w:themeColor="accent5" w:themeShade="80"/>
          <w:sz w:val="22"/>
          <w:szCs w:val="22"/>
        </w:rPr>
        <w:t>Informação sobre proteção de dados pessoais</w:t>
      </w:r>
    </w:p>
    <w:p w14:paraId="7693E1AF" w14:textId="77777777" w:rsidR="00750A1D" w:rsidRPr="007949AC" w:rsidRDefault="00750A1D" w:rsidP="00750A1D">
      <w:pPr>
        <w:spacing w:line="360" w:lineRule="auto"/>
        <w:jc w:val="both"/>
        <w:rPr>
          <w:rFonts w:asciiTheme="minorHAnsi" w:hAnsiTheme="minorHAnsi"/>
          <w:b/>
          <w:color w:val="1F3864" w:themeColor="accent5" w:themeShade="80"/>
          <w:sz w:val="22"/>
          <w:szCs w:val="22"/>
        </w:rPr>
      </w:pPr>
    </w:p>
    <w:p w14:paraId="2245E46C" w14:textId="019A9C29" w:rsidR="00750A1D" w:rsidRPr="007949AC" w:rsidRDefault="00750A1D" w:rsidP="00750A1D">
      <w:pPr>
        <w:spacing w:line="360" w:lineRule="auto"/>
        <w:jc w:val="both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Nos termos do Regulamento Geral sobre a Proteção de Dados, aprovado pelo Regulamento (UE) 2016/679 do Parlamento Europeu e do Conselho, de 27 de abril de 2016 (RGPD), a SG</w:t>
      </w:r>
      <w:r w:rsidR="00EF0861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MTSSS </w:t>
      </w: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informa o seguinte: </w:t>
      </w:r>
    </w:p>
    <w:p w14:paraId="6E58C1CC" w14:textId="75773CF4" w:rsidR="00750A1D" w:rsidRPr="007949AC" w:rsidRDefault="00750A1D" w:rsidP="00750A1D">
      <w:pPr>
        <w:spacing w:line="360" w:lineRule="auto"/>
        <w:jc w:val="both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1. A </w:t>
      </w:r>
      <w:proofErr w:type="spellStart"/>
      <w:r w:rsidR="006361A5" w:rsidRPr="006361A5">
        <w:rPr>
          <w:rFonts w:asciiTheme="minorHAnsi" w:hAnsiTheme="minorHAnsi"/>
          <w:color w:val="1F3864" w:themeColor="accent5" w:themeShade="80"/>
          <w:sz w:val="22"/>
          <w:szCs w:val="22"/>
        </w:rPr>
        <w:t>Secretaria-Geral</w:t>
      </w:r>
      <w:proofErr w:type="spellEnd"/>
      <w:r w:rsidR="006361A5" w:rsidRPr="006361A5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do Ministério do Trabalho Solidariedade e Segurança Social</w:t>
      </w: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, adiante designada abreviadamente </w:t>
      </w:r>
      <w:r w:rsidR="006361A5" w:rsidRPr="006361A5">
        <w:rPr>
          <w:rFonts w:asciiTheme="minorHAnsi" w:hAnsiTheme="minorHAnsi"/>
          <w:color w:val="1F3864" w:themeColor="accent5" w:themeShade="80"/>
          <w:sz w:val="22"/>
          <w:szCs w:val="22"/>
        </w:rPr>
        <w:t>SGMTSSS</w:t>
      </w: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e o </w:t>
      </w:r>
      <w:r w:rsidR="006361A5" w:rsidRPr="006361A5">
        <w:rPr>
          <w:rFonts w:asciiTheme="minorHAnsi" w:hAnsiTheme="minorHAnsi"/>
          <w:color w:val="1F3864" w:themeColor="accent5" w:themeShade="80"/>
          <w:sz w:val="22"/>
          <w:szCs w:val="22"/>
        </w:rPr>
        <w:t>Programa Demografia Qualificações e Inclusão</w:t>
      </w: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, adiante designado abreviadamente </w:t>
      </w:r>
      <w:r w:rsidR="006361A5">
        <w:rPr>
          <w:rFonts w:asciiTheme="minorHAnsi" w:hAnsiTheme="minorHAnsi"/>
          <w:color w:val="1F3864" w:themeColor="accent5" w:themeShade="80"/>
          <w:sz w:val="22"/>
          <w:szCs w:val="22"/>
        </w:rPr>
        <w:t>PESSOAS 2030</w:t>
      </w: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, através do número estritamente necessário de trabalhadores afetos à área de Recursos Humanos, procede ao tratamento dos dados pessoais dos candidatos com a finalidade exclusiva de gerir o processo de recrutamento, onde se inclui a análise dos requisitos de admissão previstos no aviso de abertura, a</w:t>
      </w:r>
      <w:r w:rsidR="00895FFD">
        <w:rPr>
          <w:rFonts w:asciiTheme="minorHAnsi" w:hAnsiTheme="minorHAnsi"/>
          <w:color w:val="1F3864" w:themeColor="accent5" w:themeShade="80"/>
          <w:sz w:val="22"/>
          <w:szCs w:val="22"/>
        </w:rPr>
        <w:t>s</w:t>
      </w: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</w:t>
      </w:r>
      <w:r w:rsidR="00895FF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publicitaç</w:t>
      </w:r>
      <w:r w:rsidR="00895FFD">
        <w:rPr>
          <w:rFonts w:asciiTheme="minorHAnsi" w:hAnsiTheme="minorHAnsi"/>
          <w:color w:val="1F3864" w:themeColor="accent5" w:themeShade="80"/>
          <w:sz w:val="22"/>
          <w:szCs w:val="22"/>
        </w:rPr>
        <w:t>ões</w:t>
      </w:r>
      <w:r w:rsidR="00895FF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</w:t>
      </w: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legalmente exigíveis</w:t>
      </w:r>
      <w:r w:rsidR="00895FFD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, </w:t>
      </w: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comunicações e notificações, fornecimento de acesso </w:t>
      </w:r>
      <w:r w:rsidR="00895FFD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aos documentos </w:t>
      </w: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nos limites legais, para efeitos de audiência dos interessados, impugnação administrativa ou judicial, bem como os procedimentos destinados a outras formas de satisfação do desenvolvimento de procedimentos necessários. </w:t>
      </w:r>
    </w:p>
    <w:p w14:paraId="5E0FA2A6" w14:textId="53515030" w:rsidR="002C5CCF" w:rsidRPr="007949AC" w:rsidRDefault="00750A1D" w:rsidP="00750A1D">
      <w:pPr>
        <w:spacing w:line="360" w:lineRule="auto"/>
        <w:jc w:val="both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2. Os dados pessoais recolhidos no âmbito do procedimento </w:t>
      </w:r>
      <w:r w:rsidR="00895FFD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de recrutamento </w:t>
      </w: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identificado em referência são tratados ao abrigo das obrigações jurídicas impostas pela Lei Geral do Trabalho em Funções Públicas aprovada pela Lei n.º 35/2014, de 20 de junho (LTFP) e que decorrem do interesse público </w:t>
      </w:r>
      <w:r w:rsidR="002C5CCF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que </w:t>
      </w: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o artigo 47.º, n.º 2, da Constituição de República Port</w:t>
      </w:r>
      <w:r w:rsidR="002C5CCF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uguesa</w:t>
      </w:r>
      <w:r w:rsidR="00EF0861">
        <w:rPr>
          <w:rFonts w:asciiTheme="minorHAnsi" w:hAnsiTheme="minorHAnsi"/>
          <w:color w:val="1F3864" w:themeColor="accent5" w:themeShade="80"/>
          <w:sz w:val="22"/>
          <w:szCs w:val="22"/>
        </w:rPr>
        <w:t>.</w:t>
      </w:r>
      <w:r w:rsidR="002C5CCF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</w:t>
      </w:r>
    </w:p>
    <w:p w14:paraId="18DF97BE" w14:textId="663BCC27" w:rsidR="002C5CCF" w:rsidRPr="007949AC" w:rsidRDefault="003B37BD" w:rsidP="003B37BD">
      <w:pPr>
        <w:spacing w:line="360" w:lineRule="auto"/>
        <w:jc w:val="both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3. </w:t>
      </w:r>
      <w:r w:rsidR="002C5CCF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O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tratamento</w:t>
      </w:r>
      <w:r w:rsidR="002C5CCF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de dados pessoais 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fundamenta-se ainda nas diligências contratuais </w:t>
      </w:r>
      <w:r w:rsidR="00895FFD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atinentes à </w:t>
      </w:r>
      <w:r w:rsidR="00895FFD" w:rsidRPr="00895FFD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modificação transitória da situação funcional </w:t>
      </w:r>
      <w:r w:rsidR="00895FFD">
        <w:rPr>
          <w:rFonts w:asciiTheme="minorHAnsi" w:hAnsiTheme="minorHAnsi"/>
          <w:color w:val="1F3864" w:themeColor="accent5" w:themeShade="80"/>
          <w:sz w:val="22"/>
          <w:szCs w:val="22"/>
        </w:rPr>
        <w:t>dos trabalhadores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</w:t>
      </w:r>
      <w:r w:rsidR="002C5CCF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(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artigo 6.º, n.º 1, alíneas c</w:t>
      </w:r>
      <w:r w:rsidR="00895FF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)</w:t>
      </w:r>
      <w:r w:rsidR="00895FFD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</w:t>
      </w:r>
      <w:r w:rsidR="002C5CCF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do RGPD)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. </w:t>
      </w:r>
    </w:p>
    <w:p w14:paraId="54CD1AE8" w14:textId="77777777" w:rsidR="002C5CCF" w:rsidRPr="007949AC" w:rsidRDefault="003B37BD" w:rsidP="003B37BD">
      <w:pPr>
        <w:spacing w:line="360" w:lineRule="auto"/>
        <w:jc w:val="both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4. </w:t>
      </w:r>
      <w:r w:rsidR="002C5CCF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Em caso de 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dados de saúde relativos ao grau de incapacidade detido, o tratamento desses dados fundamenta-se no cumprimento de obrigações pelo responsável do tratamento </w:t>
      </w:r>
      <w:r w:rsidR="002C5CCF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(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artigo 9.º, n.º 2, alínea b), do RGPD e Decreto-Lei n.º 29/2001, de </w:t>
      </w:r>
      <w:r w:rsidR="002C5CCF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3 de fevereiro)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. </w:t>
      </w:r>
    </w:p>
    <w:p w14:paraId="5B8E09AD" w14:textId="7B4766D0" w:rsidR="002C5CCF" w:rsidRPr="007949AC" w:rsidRDefault="003B37BD" w:rsidP="00750A1D">
      <w:pPr>
        <w:spacing w:line="360" w:lineRule="auto"/>
        <w:jc w:val="both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5. </w:t>
      </w:r>
      <w:r w:rsidR="002C5CCF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No âmbito do </w:t>
      </w:r>
      <w:r w:rsidR="00895FFD">
        <w:rPr>
          <w:rFonts w:asciiTheme="minorHAnsi" w:hAnsiTheme="minorHAnsi"/>
          <w:color w:val="1F3864" w:themeColor="accent5" w:themeShade="80"/>
          <w:sz w:val="22"/>
          <w:szCs w:val="22"/>
        </w:rPr>
        <w:t>procedimento de recrutamento</w:t>
      </w:r>
      <w:r w:rsidR="002C5CCF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em referência, s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ão ainda recolhidos e registados dados pessoais emanados da tramitação das diversas fases do procedimento, conforme decorre das finalidades descritas</w:t>
      </w:r>
      <w:r w:rsidR="002C5CCF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.</w:t>
      </w:r>
    </w:p>
    <w:p w14:paraId="7316120E" w14:textId="122EAB0B" w:rsidR="002C5CCF" w:rsidRPr="007949AC" w:rsidRDefault="003B37BD" w:rsidP="00750A1D">
      <w:pPr>
        <w:spacing w:line="360" w:lineRule="auto"/>
        <w:jc w:val="both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6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. O não fornecimento dos dados pessoais tem as consequências previstas no aviso de </w:t>
      </w:r>
      <w:r w:rsidR="00EF0861">
        <w:rPr>
          <w:rFonts w:asciiTheme="minorHAnsi" w:hAnsiTheme="minorHAnsi"/>
          <w:color w:val="1F3864" w:themeColor="accent5" w:themeShade="80"/>
          <w:sz w:val="22"/>
          <w:szCs w:val="22"/>
        </w:rPr>
        <w:t>recrutamento por mobilidade.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</w:t>
      </w:r>
    </w:p>
    <w:p w14:paraId="30BF859E" w14:textId="681DF130" w:rsidR="002C5CCF" w:rsidRPr="007949AC" w:rsidRDefault="003B37BD" w:rsidP="00750A1D">
      <w:pPr>
        <w:spacing w:line="360" w:lineRule="auto"/>
        <w:jc w:val="both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lastRenderedPageBreak/>
        <w:t>7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. </w:t>
      </w:r>
      <w:r w:rsidR="002C5CCF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A SG</w:t>
      </w:r>
      <w:r w:rsidR="00EF0861">
        <w:rPr>
          <w:rFonts w:asciiTheme="minorHAnsi" w:hAnsiTheme="minorHAnsi"/>
          <w:color w:val="1F3864" w:themeColor="accent5" w:themeShade="80"/>
          <w:sz w:val="22"/>
          <w:szCs w:val="22"/>
        </w:rPr>
        <w:t>MTSSS</w:t>
      </w:r>
      <w:r w:rsidR="002C5CCF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e o P</w:t>
      </w:r>
      <w:r w:rsidR="00EF0861">
        <w:rPr>
          <w:rFonts w:asciiTheme="minorHAnsi" w:hAnsiTheme="minorHAnsi"/>
          <w:color w:val="1F3864" w:themeColor="accent5" w:themeShade="80"/>
          <w:sz w:val="22"/>
          <w:szCs w:val="22"/>
        </w:rPr>
        <w:t>ESSOAS 2030</w:t>
      </w:r>
      <w:r w:rsidR="002C5CCF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são 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a</w:t>
      </w:r>
      <w:r w:rsidR="002C5CCF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s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entidade</w:t>
      </w:r>
      <w:r w:rsidR="002C5CCF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s </w:t>
      </w:r>
      <w:r w:rsidR="00EF0861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corresponsáveis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pelo tratamento de dados, </w:t>
      </w:r>
      <w:r w:rsidR="002C5CCF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nos termos estabelecidos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no RGPD. </w:t>
      </w:r>
    </w:p>
    <w:p w14:paraId="3E75D2D8" w14:textId="06A81B27" w:rsidR="000E3081" w:rsidRPr="007949AC" w:rsidRDefault="003B37BD" w:rsidP="00750A1D">
      <w:pPr>
        <w:spacing w:line="360" w:lineRule="auto"/>
        <w:jc w:val="both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8</w:t>
      </w:r>
      <w:r w:rsidR="002C5CCF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. </w:t>
      </w:r>
      <w:r w:rsidR="000E3081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O titular dos dados pessoais, relativamente aos dados pessoais que lhe digam respeito, tem os seguintes direitos de exercer perante a </w:t>
      </w:r>
      <w:r w:rsidR="00EF0861" w:rsidRPr="00EF0861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SGMTSSS </w:t>
      </w:r>
      <w:r w:rsidR="00EF0861">
        <w:rPr>
          <w:rFonts w:asciiTheme="minorHAnsi" w:hAnsiTheme="minorHAnsi"/>
          <w:color w:val="1F3864" w:themeColor="accent5" w:themeShade="80"/>
          <w:sz w:val="22"/>
          <w:szCs w:val="22"/>
        </w:rPr>
        <w:t>ou</w:t>
      </w:r>
      <w:r w:rsidR="00EF0861" w:rsidRPr="00EF0861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o PESSOAS 2030</w:t>
      </w:r>
      <w:r w:rsidR="000E3081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: direito de informação; direito de acesso; direito à retificação dos dados inexatos; direito de apagamento; direito à limitação do tratamento; direito à minimização dos dados; direito de se opor ao tratamento; direito de portabilidade dos dados; direito à não sujeição a decisões individuais automatizadas; nas situações de consentimento, direito de retirar consentimento em qualquer altura, sem comprometer a licitude do tratamento efetuado com base no consentimento previamente dado.</w:t>
      </w:r>
    </w:p>
    <w:p w14:paraId="49267725" w14:textId="017A2B5B" w:rsidR="003B37BD" w:rsidRPr="007949AC" w:rsidRDefault="003B37BD" w:rsidP="003B37BD">
      <w:pPr>
        <w:spacing w:line="360" w:lineRule="auto"/>
        <w:jc w:val="both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9. Os dados recolhidos não são usados pelos </w:t>
      </w:r>
      <w:r w:rsidR="00EF0861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corresponsáveis</w:t>
      </w: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para decisões automatizadas, nomeadamente não são tratados para a definição de perfis automatizados. </w:t>
      </w:r>
    </w:p>
    <w:p w14:paraId="63B595A4" w14:textId="236485A9" w:rsidR="000E3081" w:rsidRPr="007949AC" w:rsidRDefault="003B37BD" w:rsidP="00750A1D">
      <w:pPr>
        <w:spacing w:line="360" w:lineRule="auto"/>
        <w:jc w:val="both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10</w:t>
      </w:r>
      <w:r w:rsidR="000E3081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. Nos termos da legislação aplicável, é garantido, a todo o tempo, ao titular dos dados pessoais o direito de acesso, retificação, atualização e apagamento dos seus dados pessoais, podendo ainda opor-se ao tratamento dos mesmos mediante pedido escrito dirigido ao </w:t>
      </w:r>
      <w:r w:rsidR="00EF0861">
        <w:rPr>
          <w:rFonts w:asciiTheme="minorHAnsi" w:hAnsiTheme="minorHAnsi"/>
          <w:color w:val="1F3864" w:themeColor="accent5" w:themeShade="80"/>
          <w:sz w:val="22"/>
          <w:szCs w:val="22"/>
        </w:rPr>
        <w:t>PESSOAS 2030</w:t>
      </w:r>
      <w:r w:rsidR="000E3081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para </w:t>
      </w:r>
      <w:r w:rsidR="00612114" w:rsidRPr="00612114">
        <w:rPr>
          <w:rFonts w:asciiTheme="minorHAnsi" w:hAnsiTheme="minorHAnsi"/>
          <w:color w:val="1F3864" w:themeColor="accent5" w:themeShade="80"/>
          <w:sz w:val="22"/>
          <w:szCs w:val="22"/>
        </w:rPr>
        <w:t>dpo@poch.portugal2020.pt</w:t>
      </w:r>
    </w:p>
    <w:p w14:paraId="483A8E31" w14:textId="75A413DF" w:rsidR="000E3081" w:rsidRPr="007949AC" w:rsidRDefault="003B37BD" w:rsidP="00750A1D">
      <w:pPr>
        <w:spacing w:line="360" w:lineRule="auto"/>
        <w:jc w:val="both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11</w:t>
      </w:r>
      <w:r w:rsidR="000E3081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. Em situação de dúvida ou conflito, não resolvido pelo(s) responsável(eis) ou pelo(s) encarregado(s) de proteção de dados, a autoridade competente é a Comissão Nacional de Proteção de Dados (CNPD), Av. Dom Carlos I, 134 - 1 º, 1200-651 Lisboa, Telefone 21 392 84 00, </w:t>
      </w:r>
      <w:r w:rsidR="00EF0861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correio-electrónico</w:t>
      </w:r>
      <w:r w:rsidR="000E3081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: </w:t>
      </w:r>
      <w:hyperlink r:id="rId11" w:history="1">
        <w:r w:rsidR="000E3081" w:rsidRPr="007949AC">
          <w:rPr>
            <w:rStyle w:val="Hiperligao"/>
            <w:rFonts w:asciiTheme="minorHAnsi" w:hAnsiTheme="minorHAnsi"/>
            <w:color w:val="1F3864" w:themeColor="accent5" w:themeShade="80"/>
            <w:sz w:val="22"/>
            <w:szCs w:val="22"/>
          </w:rPr>
          <w:t>geral@cnpd.pt</w:t>
        </w:r>
      </w:hyperlink>
      <w:r w:rsidR="000E3081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, acessível em linha em </w:t>
      </w:r>
      <w:hyperlink r:id="rId12" w:history="1">
        <w:r w:rsidR="000E3081" w:rsidRPr="007949AC">
          <w:rPr>
            <w:rStyle w:val="Hiperligao"/>
            <w:rFonts w:asciiTheme="minorHAnsi" w:hAnsiTheme="minorHAnsi"/>
            <w:color w:val="1F3864" w:themeColor="accent5" w:themeShade="80"/>
            <w:sz w:val="22"/>
            <w:szCs w:val="22"/>
          </w:rPr>
          <w:t>https://www.cnpd.pt</w:t>
        </w:r>
      </w:hyperlink>
    </w:p>
    <w:p w14:paraId="096DD0EF" w14:textId="4B64588F" w:rsidR="000E3081" w:rsidRPr="007949AC" w:rsidRDefault="003B37BD" w:rsidP="00750A1D">
      <w:pPr>
        <w:spacing w:line="360" w:lineRule="auto"/>
        <w:jc w:val="both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12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. Os dados pessoais são conservados pelo prazo de </w:t>
      </w:r>
      <w:r w:rsidR="00EF0861">
        <w:rPr>
          <w:rFonts w:asciiTheme="minorHAnsi" w:hAnsiTheme="minorHAnsi"/>
          <w:color w:val="1F3864" w:themeColor="accent5" w:themeShade="80"/>
          <w:sz w:val="22"/>
          <w:szCs w:val="22"/>
        </w:rPr>
        <w:t>um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ano contados desde a data </w:t>
      </w:r>
      <w:r w:rsidR="008A2FF6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do encerramento 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do processo de recrutamento, findo o qual são eliminados</w:t>
      </w:r>
      <w:r w:rsidR="008A2FF6">
        <w:rPr>
          <w:rFonts w:asciiTheme="minorHAnsi" w:hAnsiTheme="minorHAnsi"/>
          <w:color w:val="1F3864" w:themeColor="accent5" w:themeShade="80"/>
          <w:sz w:val="22"/>
          <w:szCs w:val="22"/>
        </w:rPr>
        <w:t>.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</w:t>
      </w:r>
    </w:p>
    <w:p w14:paraId="0060FB44" w14:textId="77777777" w:rsidR="00EF0861" w:rsidRDefault="00EF0861" w:rsidP="00750A1D">
      <w:pPr>
        <w:spacing w:line="360" w:lineRule="auto"/>
        <w:jc w:val="both"/>
        <w:rPr>
          <w:rFonts w:asciiTheme="minorHAnsi" w:hAnsiTheme="minorHAnsi"/>
          <w:color w:val="1F3864" w:themeColor="accent5" w:themeShade="80"/>
          <w:sz w:val="22"/>
          <w:szCs w:val="22"/>
        </w:rPr>
      </w:pPr>
    </w:p>
    <w:p w14:paraId="54F52036" w14:textId="7E4A385B" w:rsidR="00C1280C" w:rsidRPr="007949AC" w:rsidRDefault="00750A1D" w:rsidP="00750A1D">
      <w:pPr>
        <w:spacing w:line="360" w:lineRule="auto"/>
        <w:jc w:val="both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Tomei conhecimento. </w:t>
      </w:r>
    </w:p>
    <w:p w14:paraId="5AE1AB15" w14:textId="77777777" w:rsidR="003B37BD" w:rsidRPr="007949AC" w:rsidRDefault="00750A1D" w:rsidP="00750A1D">
      <w:pPr>
        <w:spacing w:line="360" w:lineRule="auto"/>
        <w:jc w:val="both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Lisboa, _____ de _________________________ </w:t>
      </w:r>
      <w:proofErr w:type="spellStart"/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de</w:t>
      </w:r>
      <w:proofErr w:type="spellEnd"/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_________ </w:t>
      </w:r>
    </w:p>
    <w:p w14:paraId="1E6D1AF3" w14:textId="3DB444A8" w:rsidR="00753825" w:rsidRPr="007949AC" w:rsidRDefault="003B37BD" w:rsidP="003B37BD">
      <w:pPr>
        <w:spacing w:line="360" w:lineRule="auto"/>
        <w:jc w:val="both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A/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O Candidat</w:t>
      </w:r>
      <w:r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a/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o ao </w:t>
      </w:r>
      <w:r w:rsidR="008A2FF6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Procedimento de Recrutamento por Mobilidade Interna </w:t>
      </w:r>
      <w:r w:rsidR="00750A1D" w:rsidRPr="007949AC">
        <w:rPr>
          <w:rFonts w:asciiTheme="minorHAnsi" w:hAnsiTheme="minorHAnsi"/>
          <w:color w:val="1F3864" w:themeColor="accent5" w:themeShade="80"/>
          <w:sz w:val="22"/>
          <w:szCs w:val="22"/>
        </w:rPr>
        <w:t>aberto pelo Aviso nº ______/_________</w:t>
      </w:r>
    </w:p>
    <w:sectPr w:rsidR="00753825" w:rsidRPr="007949AC" w:rsidSect="001B154F">
      <w:headerReference w:type="default" r:id="rId13"/>
      <w:pgSz w:w="11906" w:h="16838"/>
      <w:pgMar w:top="1701" w:right="1701" w:bottom="1701" w:left="1276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0DF6" w14:textId="77777777" w:rsidR="004A69C7" w:rsidRDefault="004A69C7" w:rsidP="00901D17">
      <w:r>
        <w:separator/>
      </w:r>
    </w:p>
  </w:endnote>
  <w:endnote w:type="continuationSeparator" w:id="0">
    <w:p w14:paraId="619F6674" w14:textId="77777777" w:rsidR="004A69C7" w:rsidRDefault="004A69C7" w:rsidP="0090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0737" w14:textId="77777777" w:rsidR="004A69C7" w:rsidRDefault="004A69C7" w:rsidP="00901D17">
      <w:r>
        <w:separator/>
      </w:r>
    </w:p>
  </w:footnote>
  <w:footnote w:type="continuationSeparator" w:id="0">
    <w:p w14:paraId="0CBA8140" w14:textId="77777777" w:rsidR="004A69C7" w:rsidRDefault="004A69C7" w:rsidP="00901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37B0" w14:textId="3B7FD9DF" w:rsidR="00A97285" w:rsidRDefault="00A97285" w:rsidP="007827B4">
    <w:pPr>
      <w:pStyle w:val="Cabealho"/>
      <w:ind w:left="284"/>
    </w:pPr>
  </w:p>
  <w:p w14:paraId="6D994602" w14:textId="77777777" w:rsidR="00A97285" w:rsidRDefault="00A97285" w:rsidP="007827B4">
    <w:pPr>
      <w:pStyle w:val="Cabealho"/>
      <w:ind w:left="284"/>
    </w:pPr>
  </w:p>
  <w:p w14:paraId="2C1FAA39" w14:textId="77777777" w:rsidR="00A97285" w:rsidRDefault="00A97285" w:rsidP="007827B4">
    <w:pPr>
      <w:pStyle w:val="Cabealho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4471" w:hanging="108"/>
      </w:pPr>
      <w:rPr>
        <w:rFonts w:ascii="Tahoma" w:hAnsi="Tahoma" w:cs="Tahoma"/>
        <w:b w:val="0"/>
        <w:bCs w:val="0"/>
        <w:color w:val="55425E"/>
        <w:w w:val="100"/>
        <w:sz w:val="16"/>
        <w:szCs w:val="16"/>
      </w:rPr>
    </w:lvl>
    <w:lvl w:ilvl="1">
      <w:numFmt w:val="bullet"/>
      <w:lvlText w:val="•"/>
      <w:lvlJc w:val="left"/>
      <w:pPr>
        <w:ind w:left="5062" w:hanging="108"/>
      </w:pPr>
    </w:lvl>
    <w:lvl w:ilvl="2">
      <w:numFmt w:val="bullet"/>
      <w:lvlText w:val="•"/>
      <w:lvlJc w:val="left"/>
      <w:pPr>
        <w:ind w:left="5645" w:hanging="108"/>
      </w:pPr>
    </w:lvl>
    <w:lvl w:ilvl="3">
      <w:numFmt w:val="bullet"/>
      <w:lvlText w:val="•"/>
      <w:lvlJc w:val="left"/>
      <w:pPr>
        <w:ind w:left="6227" w:hanging="108"/>
      </w:pPr>
    </w:lvl>
    <w:lvl w:ilvl="4">
      <w:numFmt w:val="bullet"/>
      <w:lvlText w:val="•"/>
      <w:lvlJc w:val="left"/>
      <w:pPr>
        <w:ind w:left="6810" w:hanging="108"/>
      </w:pPr>
    </w:lvl>
    <w:lvl w:ilvl="5">
      <w:numFmt w:val="bullet"/>
      <w:lvlText w:val="•"/>
      <w:lvlJc w:val="left"/>
      <w:pPr>
        <w:ind w:left="7392" w:hanging="108"/>
      </w:pPr>
    </w:lvl>
    <w:lvl w:ilvl="6">
      <w:numFmt w:val="bullet"/>
      <w:lvlText w:val="•"/>
      <w:lvlJc w:val="left"/>
      <w:pPr>
        <w:ind w:left="7975" w:hanging="108"/>
      </w:pPr>
    </w:lvl>
    <w:lvl w:ilvl="7">
      <w:numFmt w:val="bullet"/>
      <w:lvlText w:val="•"/>
      <w:lvlJc w:val="left"/>
      <w:pPr>
        <w:ind w:left="8557" w:hanging="108"/>
      </w:pPr>
    </w:lvl>
    <w:lvl w:ilvl="8">
      <w:numFmt w:val="bullet"/>
      <w:lvlText w:val="•"/>
      <w:lvlJc w:val="left"/>
      <w:pPr>
        <w:ind w:left="9140" w:hanging="10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4471" w:hanging="108"/>
      </w:pPr>
      <w:rPr>
        <w:rFonts w:ascii="Tahoma" w:hAnsi="Tahoma" w:cs="Tahoma"/>
        <w:b w:val="0"/>
        <w:bCs w:val="0"/>
        <w:color w:val="55425E"/>
        <w:w w:val="100"/>
        <w:sz w:val="16"/>
        <w:szCs w:val="16"/>
      </w:rPr>
    </w:lvl>
    <w:lvl w:ilvl="1">
      <w:numFmt w:val="bullet"/>
      <w:lvlText w:val="•"/>
      <w:lvlJc w:val="left"/>
      <w:pPr>
        <w:ind w:left="5062" w:hanging="108"/>
      </w:pPr>
    </w:lvl>
    <w:lvl w:ilvl="2">
      <w:numFmt w:val="bullet"/>
      <w:lvlText w:val="•"/>
      <w:lvlJc w:val="left"/>
      <w:pPr>
        <w:ind w:left="5645" w:hanging="108"/>
      </w:pPr>
    </w:lvl>
    <w:lvl w:ilvl="3">
      <w:numFmt w:val="bullet"/>
      <w:lvlText w:val="•"/>
      <w:lvlJc w:val="left"/>
      <w:pPr>
        <w:ind w:left="6227" w:hanging="108"/>
      </w:pPr>
    </w:lvl>
    <w:lvl w:ilvl="4">
      <w:numFmt w:val="bullet"/>
      <w:lvlText w:val="•"/>
      <w:lvlJc w:val="left"/>
      <w:pPr>
        <w:ind w:left="6810" w:hanging="108"/>
      </w:pPr>
    </w:lvl>
    <w:lvl w:ilvl="5">
      <w:numFmt w:val="bullet"/>
      <w:lvlText w:val="•"/>
      <w:lvlJc w:val="left"/>
      <w:pPr>
        <w:ind w:left="7392" w:hanging="108"/>
      </w:pPr>
    </w:lvl>
    <w:lvl w:ilvl="6">
      <w:numFmt w:val="bullet"/>
      <w:lvlText w:val="•"/>
      <w:lvlJc w:val="left"/>
      <w:pPr>
        <w:ind w:left="7975" w:hanging="108"/>
      </w:pPr>
    </w:lvl>
    <w:lvl w:ilvl="7">
      <w:numFmt w:val="bullet"/>
      <w:lvlText w:val="•"/>
      <w:lvlJc w:val="left"/>
      <w:pPr>
        <w:ind w:left="8557" w:hanging="108"/>
      </w:pPr>
    </w:lvl>
    <w:lvl w:ilvl="8">
      <w:numFmt w:val="bullet"/>
      <w:lvlText w:val="•"/>
      <w:lvlJc w:val="left"/>
      <w:pPr>
        <w:ind w:left="9140" w:hanging="10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4471" w:hanging="108"/>
      </w:pPr>
      <w:rPr>
        <w:rFonts w:ascii="Tahoma" w:hAnsi="Tahoma" w:cs="Tahoma"/>
        <w:b w:val="0"/>
        <w:bCs w:val="0"/>
        <w:color w:val="55425E"/>
        <w:w w:val="100"/>
        <w:sz w:val="16"/>
        <w:szCs w:val="16"/>
      </w:rPr>
    </w:lvl>
    <w:lvl w:ilvl="1">
      <w:numFmt w:val="bullet"/>
      <w:lvlText w:val="•"/>
      <w:lvlJc w:val="left"/>
      <w:pPr>
        <w:ind w:left="5062" w:hanging="108"/>
      </w:pPr>
    </w:lvl>
    <w:lvl w:ilvl="2">
      <w:numFmt w:val="bullet"/>
      <w:lvlText w:val="•"/>
      <w:lvlJc w:val="left"/>
      <w:pPr>
        <w:ind w:left="5645" w:hanging="108"/>
      </w:pPr>
    </w:lvl>
    <w:lvl w:ilvl="3">
      <w:numFmt w:val="bullet"/>
      <w:lvlText w:val="•"/>
      <w:lvlJc w:val="left"/>
      <w:pPr>
        <w:ind w:left="6227" w:hanging="108"/>
      </w:pPr>
    </w:lvl>
    <w:lvl w:ilvl="4">
      <w:numFmt w:val="bullet"/>
      <w:lvlText w:val="•"/>
      <w:lvlJc w:val="left"/>
      <w:pPr>
        <w:ind w:left="6810" w:hanging="108"/>
      </w:pPr>
    </w:lvl>
    <w:lvl w:ilvl="5">
      <w:numFmt w:val="bullet"/>
      <w:lvlText w:val="•"/>
      <w:lvlJc w:val="left"/>
      <w:pPr>
        <w:ind w:left="7392" w:hanging="108"/>
      </w:pPr>
    </w:lvl>
    <w:lvl w:ilvl="6">
      <w:numFmt w:val="bullet"/>
      <w:lvlText w:val="•"/>
      <w:lvlJc w:val="left"/>
      <w:pPr>
        <w:ind w:left="7975" w:hanging="108"/>
      </w:pPr>
    </w:lvl>
    <w:lvl w:ilvl="7">
      <w:numFmt w:val="bullet"/>
      <w:lvlText w:val="•"/>
      <w:lvlJc w:val="left"/>
      <w:pPr>
        <w:ind w:left="8557" w:hanging="108"/>
      </w:pPr>
    </w:lvl>
    <w:lvl w:ilvl="8">
      <w:numFmt w:val="bullet"/>
      <w:lvlText w:val="•"/>
      <w:lvlJc w:val="left"/>
      <w:pPr>
        <w:ind w:left="9140" w:hanging="10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4471" w:hanging="108"/>
      </w:pPr>
      <w:rPr>
        <w:rFonts w:ascii="Tahoma" w:hAnsi="Tahoma" w:cs="Tahoma"/>
        <w:b w:val="0"/>
        <w:bCs w:val="0"/>
        <w:color w:val="55425E"/>
        <w:w w:val="100"/>
        <w:sz w:val="16"/>
        <w:szCs w:val="16"/>
      </w:rPr>
    </w:lvl>
    <w:lvl w:ilvl="1">
      <w:numFmt w:val="bullet"/>
      <w:lvlText w:val="•"/>
      <w:lvlJc w:val="left"/>
      <w:pPr>
        <w:ind w:left="5062" w:hanging="108"/>
      </w:pPr>
    </w:lvl>
    <w:lvl w:ilvl="2">
      <w:numFmt w:val="bullet"/>
      <w:lvlText w:val="•"/>
      <w:lvlJc w:val="left"/>
      <w:pPr>
        <w:ind w:left="5645" w:hanging="108"/>
      </w:pPr>
    </w:lvl>
    <w:lvl w:ilvl="3">
      <w:numFmt w:val="bullet"/>
      <w:lvlText w:val="•"/>
      <w:lvlJc w:val="left"/>
      <w:pPr>
        <w:ind w:left="6227" w:hanging="108"/>
      </w:pPr>
    </w:lvl>
    <w:lvl w:ilvl="4">
      <w:numFmt w:val="bullet"/>
      <w:lvlText w:val="•"/>
      <w:lvlJc w:val="left"/>
      <w:pPr>
        <w:ind w:left="6810" w:hanging="108"/>
      </w:pPr>
    </w:lvl>
    <w:lvl w:ilvl="5">
      <w:numFmt w:val="bullet"/>
      <w:lvlText w:val="•"/>
      <w:lvlJc w:val="left"/>
      <w:pPr>
        <w:ind w:left="7392" w:hanging="108"/>
      </w:pPr>
    </w:lvl>
    <w:lvl w:ilvl="6">
      <w:numFmt w:val="bullet"/>
      <w:lvlText w:val="•"/>
      <w:lvlJc w:val="left"/>
      <w:pPr>
        <w:ind w:left="7975" w:hanging="108"/>
      </w:pPr>
    </w:lvl>
    <w:lvl w:ilvl="7">
      <w:numFmt w:val="bullet"/>
      <w:lvlText w:val="•"/>
      <w:lvlJc w:val="left"/>
      <w:pPr>
        <w:ind w:left="8557" w:hanging="108"/>
      </w:pPr>
    </w:lvl>
    <w:lvl w:ilvl="8">
      <w:numFmt w:val="bullet"/>
      <w:lvlText w:val="•"/>
      <w:lvlJc w:val="left"/>
      <w:pPr>
        <w:ind w:left="9140" w:hanging="108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hanging="187"/>
      </w:pPr>
      <w:rPr>
        <w:rFonts w:ascii="Arial" w:hAnsi="Arial" w:cs="Arial"/>
        <w:b w:val="0"/>
        <w:bCs w:val="0"/>
        <w:color w:val="55425E"/>
        <w:w w:val="100"/>
        <w:sz w:val="16"/>
        <w:szCs w:val="16"/>
      </w:rPr>
    </w:lvl>
    <w:lvl w:ilvl="1">
      <w:numFmt w:val="bullet"/>
      <w:lvlText w:val="•"/>
      <w:lvlJc w:val="left"/>
      <w:pPr>
        <w:ind w:left="519" w:hanging="187"/>
      </w:pPr>
    </w:lvl>
    <w:lvl w:ilvl="2">
      <w:numFmt w:val="bullet"/>
      <w:lvlText w:val="•"/>
      <w:lvlJc w:val="left"/>
      <w:pPr>
        <w:ind w:left="1038" w:hanging="187"/>
      </w:pPr>
    </w:lvl>
    <w:lvl w:ilvl="3">
      <w:numFmt w:val="bullet"/>
      <w:lvlText w:val="•"/>
      <w:lvlJc w:val="left"/>
      <w:pPr>
        <w:ind w:left="1558" w:hanging="187"/>
      </w:pPr>
    </w:lvl>
    <w:lvl w:ilvl="4">
      <w:numFmt w:val="bullet"/>
      <w:lvlText w:val="•"/>
      <w:lvlJc w:val="left"/>
      <w:pPr>
        <w:ind w:left="2077" w:hanging="187"/>
      </w:pPr>
    </w:lvl>
    <w:lvl w:ilvl="5">
      <w:numFmt w:val="bullet"/>
      <w:lvlText w:val="•"/>
      <w:lvlJc w:val="left"/>
      <w:pPr>
        <w:ind w:left="2597" w:hanging="187"/>
      </w:pPr>
    </w:lvl>
    <w:lvl w:ilvl="6">
      <w:numFmt w:val="bullet"/>
      <w:lvlText w:val="•"/>
      <w:lvlJc w:val="left"/>
      <w:pPr>
        <w:ind w:left="3116" w:hanging="187"/>
      </w:pPr>
    </w:lvl>
    <w:lvl w:ilvl="7">
      <w:numFmt w:val="bullet"/>
      <w:lvlText w:val="•"/>
      <w:lvlJc w:val="left"/>
      <w:pPr>
        <w:ind w:left="3636" w:hanging="187"/>
      </w:pPr>
    </w:lvl>
    <w:lvl w:ilvl="8">
      <w:numFmt w:val="bullet"/>
      <w:lvlText w:val="•"/>
      <w:lvlJc w:val="left"/>
      <w:pPr>
        <w:ind w:left="4155" w:hanging="187"/>
      </w:pPr>
    </w:lvl>
  </w:abstractNum>
  <w:abstractNum w:abstractNumId="5" w15:restartNumberingAfterBreak="0">
    <w:nsid w:val="00000407"/>
    <w:multiLevelType w:val="multilevel"/>
    <w:tmpl w:val="0000088A"/>
    <w:lvl w:ilvl="0">
      <w:start w:val="4"/>
      <w:numFmt w:val="lowerLetter"/>
      <w:lvlText w:val="%1)"/>
      <w:lvlJc w:val="left"/>
      <w:pPr>
        <w:ind w:left="4658" w:hanging="187"/>
      </w:pPr>
      <w:rPr>
        <w:rFonts w:ascii="Arial" w:hAnsi="Arial" w:cs="Arial"/>
        <w:b w:val="0"/>
        <w:bCs w:val="0"/>
        <w:color w:val="55425E"/>
        <w:w w:val="100"/>
        <w:sz w:val="16"/>
        <w:szCs w:val="16"/>
      </w:rPr>
    </w:lvl>
    <w:lvl w:ilvl="1">
      <w:numFmt w:val="bullet"/>
      <w:lvlText w:val="•"/>
      <w:lvlJc w:val="left"/>
      <w:pPr>
        <w:ind w:left="5224" w:hanging="187"/>
      </w:pPr>
    </w:lvl>
    <w:lvl w:ilvl="2">
      <w:numFmt w:val="bullet"/>
      <w:lvlText w:val="•"/>
      <w:lvlJc w:val="left"/>
      <w:pPr>
        <w:ind w:left="5789" w:hanging="187"/>
      </w:pPr>
    </w:lvl>
    <w:lvl w:ilvl="3">
      <w:numFmt w:val="bullet"/>
      <w:lvlText w:val="•"/>
      <w:lvlJc w:val="left"/>
      <w:pPr>
        <w:ind w:left="6353" w:hanging="187"/>
      </w:pPr>
    </w:lvl>
    <w:lvl w:ilvl="4">
      <w:numFmt w:val="bullet"/>
      <w:lvlText w:val="•"/>
      <w:lvlJc w:val="left"/>
      <w:pPr>
        <w:ind w:left="6918" w:hanging="187"/>
      </w:pPr>
    </w:lvl>
    <w:lvl w:ilvl="5">
      <w:numFmt w:val="bullet"/>
      <w:lvlText w:val="•"/>
      <w:lvlJc w:val="left"/>
      <w:pPr>
        <w:ind w:left="7482" w:hanging="187"/>
      </w:pPr>
    </w:lvl>
    <w:lvl w:ilvl="6">
      <w:numFmt w:val="bullet"/>
      <w:lvlText w:val="•"/>
      <w:lvlJc w:val="left"/>
      <w:pPr>
        <w:ind w:left="8047" w:hanging="187"/>
      </w:pPr>
    </w:lvl>
    <w:lvl w:ilvl="7">
      <w:numFmt w:val="bullet"/>
      <w:lvlText w:val="•"/>
      <w:lvlJc w:val="left"/>
      <w:pPr>
        <w:ind w:left="8611" w:hanging="187"/>
      </w:pPr>
    </w:lvl>
    <w:lvl w:ilvl="8">
      <w:numFmt w:val="bullet"/>
      <w:lvlText w:val="•"/>
      <w:lvlJc w:val="left"/>
      <w:pPr>
        <w:ind w:left="9176" w:hanging="187"/>
      </w:pPr>
    </w:lvl>
  </w:abstractNum>
  <w:abstractNum w:abstractNumId="6" w15:restartNumberingAfterBreak="0">
    <w:nsid w:val="200F2371"/>
    <w:multiLevelType w:val="multilevel"/>
    <w:tmpl w:val="A4225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1524705"/>
    <w:multiLevelType w:val="multilevel"/>
    <w:tmpl w:val="810884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84070102">
    <w:abstractNumId w:val="5"/>
  </w:num>
  <w:num w:numId="2" w16cid:durableId="1917127302">
    <w:abstractNumId w:val="4"/>
  </w:num>
  <w:num w:numId="3" w16cid:durableId="437217627">
    <w:abstractNumId w:val="3"/>
  </w:num>
  <w:num w:numId="4" w16cid:durableId="1887986861">
    <w:abstractNumId w:val="2"/>
  </w:num>
  <w:num w:numId="5" w16cid:durableId="1201016312">
    <w:abstractNumId w:val="1"/>
  </w:num>
  <w:num w:numId="6" w16cid:durableId="1201626017">
    <w:abstractNumId w:val="0"/>
  </w:num>
  <w:num w:numId="7" w16cid:durableId="1992633315">
    <w:abstractNumId w:val="7"/>
  </w:num>
  <w:num w:numId="8" w16cid:durableId="1187015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zN7M0sjAzNDEzNDNV0lEKTi0uzszPAykwqgUApKBHlywAAAA="/>
  </w:docVars>
  <w:rsids>
    <w:rsidRoot w:val="00901D17"/>
    <w:rsid w:val="00023378"/>
    <w:rsid w:val="000D3CE6"/>
    <w:rsid w:val="000E3081"/>
    <w:rsid w:val="001061B2"/>
    <w:rsid w:val="00106A11"/>
    <w:rsid w:val="00180818"/>
    <w:rsid w:val="001B154F"/>
    <w:rsid w:val="0022182D"/>
    <w:rsid w:val="00263239"/>
    <w:rsid w:val="00265705"/>
    <w:rsid w:val="00284350"/>
    <w:rsid w:val="002C4908"/>
    <w:rsid w:val="002C54B8"/>
    <w:rsid w:val="002C5CCF"/>
    <w:rsid w:val="002E06E5"/>
    <w:rsid w:val="002E1FFE"/>
    <w:rsid w:val="00371E4D"/>
    <w:rsid w:val="00374F64"/>
    <w:rsid w:val="00395C4A"/>
    <w:rsid w:val="00396F0F"/>
    <w:rsid w:val="003B37BD"/>
    <w:rsid w:val="003B517A"/>
    <w:rsid w:val="003C3D26"/>
    <w:rsid w:val="003E00C2"/>
    <w:rsid w:val="003E6FAC"/>
    <w:rsid w:val="00411545"/>
    <w:rsid w:val="004157DF"/>
    <w:rsid w:val="004565A4"/>
    <w:rsid w:val="0046530C"/>
    <w:rsid w:val="004A69C7"/>
    <w:rsid w:val="005204AC"/>
    <w:rsid w:val="005844A4"/>
    <w:rsid w:val="00596847"/>
    <w:rsid w:val="005A3889"/>
    <w:rsid w:val="005D0DEC"/>
    <w:rsid w:val="00612114"/>
    <w:rsid w:val="006361A5"/>
    <w:rsid w:val="0069711E"/>
    <w:rsid w:val="006A2D4D"/>
    <w:rsid w:val="006F27F2"/>
    <w:rsid w:val="006F7F64"/>
    <w:rsid w:val="00750A1D"/>
    <w:rsid w:val="00753825"/>
    <w:rsid w:val="00773668"/>
    <w:rsid w:val="007827B4"/>
    <w:rsid w:val="007949AC"/>
    <w:rsid w:val="007B0BB2"/>
    <w:rsid w:val="00830BC8"/>
    <w:rsid w:val="008426E1"/>
    <w:rsid w:val="00850D62"/>
    <w:rsid w:val="0086183B"/>
    <w:rsid w:val="00895FFD"/>
    <w:rsid w:val="008A2FF6"/>
    <w:rsid w:val="008D2953"/>
    <w:rsid w:val="00901D17"/>
    <w:rsid w:val="00930B28"/>
    <w:rsid w:val="00965B41"/>
    <w:rsid w:val="00971272"/>
    <w:rsid w:val="009924B0"/>
    <w:rsid w:val="00A26BBC"/>
    <w:rsid w:val="00A530E1"/>
    <w:rsid w:val="00A5489A"/>
    <w:rsid w:val="00A8330E"/>
    <w:rsid w:val="00A8666F"/>
    <w:rsid w:val="00A97285"/>
    <w:rsid w:val="00AB37DB"/>
    <w:rsid w:val="00AC797A"/>
    <w:rsid w:val="00B05CC7"/>
    <w:rsid w:val="00B25379"/>
    <w:rsid w:val="00B52235"/>
    <w:rsid w:val="00B5431B"/>
    <w:rsid w:val="00B7626A"/>
    <w:rsid w:val="00BA12F6"/>
    <w:rsid w:val="00BB3E06"/>
    <w:rsid w:val="00BC44C3"/>
    <w:rsid w:val="00BE2545"/>
    <w:rsid w:val="00C05054"/>
    <w:rsid w:val="00C1280C"/>
    <w:rsid w:val="00CA3884"/>
    <w:rsid w:val="00CC67FD"/>
    <w:rsid w:val="00CE11B1"/>
    <w:rsid w:val="00D05D13"/>
    <w:rsid w:val="00D17A3C"/>
    <w:rsid w:val="00D17F6B"/>
    <w:rsid w:val="00D2041C"/>
    <w:rsid w:val="00D37B7E"/>
    <w:rsid w:val="00D50193"/>
    <w:rsid w:val="00D65AE8"/>
    <w:rsid w:val="00D70C5C"/>
    <w:rsid w:val="00D83EE7"/>
    <w:rsid w:val="00D860A5"/>
    <w:rsid w:val="00DC631B"/>
    <w:rsid w:val="00DC7D54"/>
    <w:rsid w:val="00DF4164"/>
    <w:rsid w:val="00E238DD"/>
    <w:rsid w:val="00E36713"/>
    <w:rsid w:val="00E50567"/>
    <w:rsid w:val="00E708E0"/>
    <w:rsid w:val="00E85D5C"/>
    <w:rsid w:val="00E960B4"/>
    <w:rsid w:val="00EA0B91"/>
    <w:rsid w:val="00ED6E84"/>
    <w:rsid w:val="00EE0D0D"/>
    <w:rsid w:val="00EE1DCF"/>
    <w:rsid w:val="00EF0861"/>
    <w:rsid w:val="00F6690A"/>
    <w:rsid w:val="00FA3EB7"/>
    <w:rsid w:val="00F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9DB8A6"/>
  <w15:chartTrackingRefBased/>
  <w15:docId w15:val="{AE113591-28AE-425F-95E4-75CFAD02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FA3E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ter"/>
    <w:qFormat/>
    <w:rsid w:val="00901D17"/>
    <w:pPr>
      <w:keepNext/>
      <w:tabs>
        <w:tab w:val="left" w:pos="4253"/>
        <w:tab w:val="left" w:pos="5670"/>
      </w:tabs>
      <w:ind w:left="4253" w:right="-894"/>
      <w:outlineLvl w:val="5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arter">
    <w:name w:val="Título 6 Caráter"/>
    <w:basedOn w:val="Tipodeletrapredefinidodopargrafo"/>
    <w:link w:val="Ttulo6"/>
    <w:rsid w:val="00901D17"/>
    <w:rPr>
      <w:rFonts w:ascii="Times New Roman" w:eastAsia="Times New Roman" w:hAnsi="Times New Roman" w:cs="Times New Roman"/>
      <w:sz w:val="24"/>
      <w:szCs w:val="20"/>
    </w:rPr>
  </w:style>
  <w:style w:type="paragraph" w:styleId="Avanodecorpodetexto3">
    <w:name w:val="Body Text Indent 3"/>
    <w:basedOn w:val="Normal"/>
    <w:link w:val="Avanodecorpodetexto3Carter"/>
    <w:rsid w:val="00901D17"/>
    <w:pPr>
      <w:tabs>
        <w:tab w:val="left" w:pos="5670"/>
      </w:tabs>
      <w:ind w:left="1134"/>
      <w:jc w:val="both"/>
    </w:pPr>
    <w:rPr>
      <w:b/>
      <w:sz w:val="24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901D17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901D17"/>
    <w:pPr>
      <w:spacing w:before="100" w:beforeAutospacing="1" w:after="100" w:afterAutospacing="1"/>
    </w:pPr>
    <w:rPr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901D1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01D1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901D1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01D17"/>
    <w:rPr>
      <w:rFonts w:ascii="Times New Roman" w:eastAsia="Times New Roman" w:hAnsi="Times New Roman" w:cs="Times New Roman"/>
      <w:sz w:val="20"/>
      <w:szCs w:val="20"/>
    </w:rPr>
  </w:style>
  <w:style w:type="table" w:styleId="TabelacomGrelha">
    <w:name w:val="Table Grid"/>
    <w:basedOn w:val="Tabelanormal"/>
    <w:uiPriority w:val="39"/>
    <w:rsid w:val="00EA0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B0BB2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B0BB2"/>
    <w:rPr>
      <w:rFonts w:ascii="Segoe UI" w:eastAsia="Times New Roman" w:hAnsi="Segoe UI" w:cs="Segoe UI"/>
      <w:sz w:val="18"/>
      <w:szCs w:val="18"/>
    </w:rPr>
  </w:style>
  <w:style w:type="character" w:styleId="Hiperligao">
    <w:name w:val="Hyperlink"/>
    <w:basedOn w:val="Tipodeletrapredefinidodopargrafo"/>
    <w:unhideWhenUsed/>
    <w:rsid w:val="007B0BB2"/>
    <w:rPr>
      <w:color w:val="0563C1" w:themeColor="hyperlink"/>
      <w:u w:val="single"/>
    </w:rPr>
  </w:style>
  <w:style w:type="character" w:customStyle="1" w:styleId="xdb">
    <w:name w:val="_xdb"/>
    <w:basedOn w:val="Tipodeletrapredefinidodopargrafo"/>
    <w:rsid w:val="0046530C"/>
  </w:style>
  <w:style w:type="character" w:customStyle="1" w:styleId="xbe">
    <w:name w:val="_xbe"/>
    <w:basedOn w:val="Tipodeletrapredefinidodopargrafo"/>
    <w:rsid w:val="0046530C"/>
  </w:style>
  <w:style w:type="paragraph" w:styleId="PargrafodaLista">
    <w:name w:val="List Paragraph"/>
    <w:basedOn w:val="Normal"/>
    <w:uiPriority w:val="34"/>
    <w:qFormat/>
    <w:rsid w:val="00BE2545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FA3E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A3EB7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A3EB7"/>
    <w:rPr>
      <w:rFonts w:ascii="Times New Roman" w:eastAsia="Times New Roman" w:hAnsi="Times New Roman" w:cs="Times New Roman"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F7F64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B37D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B37DB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B37DB"/>
    <w:rPr>
      <w:rFonts w:ascii="Times New Roman" w:eastAsia="Times New Roman" w:hAnsi="Times New Roman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B37D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B37D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npd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ral@cnpd.p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CF01AB63150D4E9EFD2032A5B54CE0" ma:contentTypeVersion="1" ma:contentTypeDescription="Criar um novo documento." ma:contentTypeScope="" ma:versionID="4b4b26b050fdba30b964b7d9855302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F72D54-F49C-4A56-9CE9-2E7D54167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04F18-0EF3-4A67-9F50-4CB38BCED8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98C31A-64F7-4AE7-980D-A5534ED6A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5390C3-95ED-4874-A3D5-F3CBE6B911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Gama</dc:creator>
  <cp:keywords/>
  <dc:description/>
  <cp:lastModifiedBy>PESSOAS 2030</cp:lastModifiedBy>
  <cp:revision>2</cp:revision>
  <cp:lastPrinted>2020-02-14T15:53:00Z</cp:lastPrinted>
  <dcterms:created xsi:type="dcterms:W3CDTF">2023-05-26T19:12:00Z</dcterms:created>
  <dcterms:modified xsi:type="dcterms:W3CDTF">2023-05-26T19:12:00Z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0x01010007CF01AB63150D4E9EFD2032A5B54CE0</vt:lpwstr>
  </property>
</Properties>
</file>